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12" w:rsidRPr="0098182A" w:rsidRDefault="00EC7C12" w:rsidP="00B16490">
      <w:pPr>
        <w:spacing w:after="0"/>
        <w:rPr>
          <w:rFonts w:ascii="Times New Roman" w:hAnsi="Times New Roman"/>
          <w:b/>
          <w:sz w:val="32"/>
          <w:szCs w:val="32"/>
        </w:rPr>
      </w:pPr>
      <w:r w:rsidRPr="0098182A">
        <w:rPr>
          <w:rFonts w:ascii="Times New Roman" w:hAnsi="Times New Roman"/>
          <w:b/>
          <w:sz w:val="32"/>
          <w:szCs w:val="32"/>
        </w:rPr>
        <w:t xml:space="preserve">Внутриглазные новообразования </w:t>
      </w:r>
    </w:p>
    <w:p w:rsidR="00EC7C12" w:rsidRDefault="00EC7C12" w:rsidP="00B1649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7C12" w:rsidRDefault="00EC7C12" w:rsidP="00B1649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Шифр кода МКБ-10: </w:t>
      </w:r>
      <w:r w:rsidRPr="004452C6">
        <w:rPr>
          <w:rFonts w:ascii="Times New Roman" w:hAnsi="Times New Roman"/>
          <w:b/>
          <w:sz w:val="28"/>
          <w:szCs w:val="28"/>
        </w:rPr>
        <w:t>D 31.2,</w:t>
      </w:r>
      <w:r>
        <w:rPr>
          <w:rFonts w:ascii="Times New Roman" w:hAnsi="Times New Roman"/>
          <w:b/>
          <w:sz w:val="28"/>
          <w:szCs w:val="28"/>
        </w:rPr>
        <w:t xml:space="preserve"> D 31.3, D 31.4, C 69.3, C 69.4</w:t>
      </w:r>
    </w:p>
    <w:p w:rsidR="00EC7C12" w:rsidRDefault="00EC7C12" w:rsidP="00B1649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категория: </w:t>
      </w:r>
      <w:r w:rsidRPr="004452C6">
        <w:rPr>
          <w:rFonts w:ascii="Times New Roman" w:hAnsi="Times New Roman"/>
          <w:b/>
          <w:sz w:val="28"/>
          <w:szCs w:val="28"/>
        </w:rPr>
        <w:t xml:space="preserve"> дети и взрослые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C7C12" w:rsidRPr="004452C6" w:rsidRDefault="00EC7C12" w:rsidP="00B16490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C7C12" w:rsidRPr="0098182A" w:rsidRDefault="00EC7C12" w:rsidP="00B16490">
      <w:pPr>
        <w:spacing w:after="0"/>
        <w:rPr>
          <w:rFonts w:ascii="Times New Roman" w:hAnsi="Times New Roman"/>
          <w:sz w:val="28"/>
          <w:szCs w:val="28"/>
        </w:rPr>
      </w:pPr>
      <w:r w:rsidRPr="0098182A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98182A">
        <w:rPr>
          <w:rFonts w:ascii="Times New Roman" w:hAnsi="Times New Roman"/>
          <w:b/>
          <w:i/>
          <w:sz w:val="28"/>
          <w:szCs w:val="28"/>
        </w:rPr>
        <w:t>. Временные индикаторы качества:</w:t>
      </w:r>
      <w:r w:rsidRPr="004452C6">
        <w:rPr>
          <w:rFonts w:ascii="Times New Roman" w:hAnsi="Times New Roman"/>
          <w:i/>
          <w:sz w:val="28"/>
          <w:szCs w:val="28"/>
        </w:rPr>
        <w:t xml:space="preserve"> </w:t>
      </w:r>
      <w:r w:rsidRPr="0098182A">
        <w:rPr>
          <w:rFonts w:ascii="Times New Roman" w:hAnsi="Times New Roman"/>
          <w:sz w:val="28"/>
          <w:szCs w:val="28"/>
        </w:rPr>
        <w:t>плановая медицинская помощь.</w:t>
      </w:r>
    </w:p>
    <w:p w:rsidR="00EC7C12" w:rsidRPr="00E2250D" w:rsidRDefault="00EC7C12" w:rsidP="00B16490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EC7C12" w:rsidRPr="0098182A" w:rsidRDefault="00EC7C12" w:rsidP="00B1649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8182A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98182A">
        <w:rPr>
          <w:rFonts w:ascii="Times New Roman" w:hAnsi="Times New Roman"/>
          <w:b/>
          <w:i/>
          <w:sz w:val="28"/>
          <w:szCs w:val="28"/>
        </w:rPr>
        <w:t>. Про</w:t>
      </w:r>
      <w:r>
        <w:rPr>
          <w:rFonts w:ascii="Times New Roman" w:hAnsi="Times New Roman"/>
          <w:b/>
          <w:i/>
          <w:sz w:val="28"/>
          <w:szCs w:val="28"/>
        </w:rPr>
        <w:t>цессуальные индикаторы качества</w:t>
      </w:r>
      <w:r w:rsidRPr="0098182A">
        <w:rPr>
          <w:rFonts w:ascii="Times New Roman" w:hAnsi="Times New Roman"/>
          <w:b/>
          <w:i/>
          <w:sz w:val="28"/>
          <w:szCs w:val="28"/>
        </w:rPr>
        <w:t>:</w:t>
      </w:r>
    </w:p>
    <w:p w:rsidR="00EC7C12" w:rsidRPr="0098182A" w:rsidRDefault="00EC7C12" w:rsidP="00B16490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8182A">
        <w:rPr>
          <w:rFonts w:ascii="Times New Roman" w:hAnsi="Times New Roman"/>
          <w:sz w:val="28"/>
          <w:szCs w:val="28"/>
          <w:u w:val="single"/>
        </w:rPr>
        <w:t>Диагностика:</w:t>
      </w:r>
    </w:p>
    <w:p w:rsidR="00EC7C12" w:rsidRPr="004452C6" w:rsidRDefault="00EC7C12" w:rsidP="0064283D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Определение остроты зрения до и после лечения</w:t>
      </w:r>
      <w:r w:rsidRPr="0098182A"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16490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Определение уровня внутриглазного давления до лечения</w:t>
      </w:r>
      <w:r w:rsidRPr="0098182A"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64283D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Биомикроскопия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(исследование переднего отрезка глаза)</w:t>
      </w:r>
      <w:r w:rsidRPr="0098182A"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16490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Офтальмоскопия под</w:t>
      </w:r>
      <w:r w:rsidRPr="004452C6">
        <w:rPr>
          <w:rFonts w:ascii="Times New Roman" w:hAnsi="Times New Roman"/>
          <w:sz w:val="28"/>
          <w:szCs w:val="28"/>
        </w:rPr>
        <w:t xml:space="preserve"> медикаментозным </w:t>
      </w:r>
      <w:proofErr w:type="spellStart"/>
      <w:r w:rsidRPr="004452C6">
        <w:rPr>
          <w:rFonts w:ascii="Times New Roman" w:hAnsi="Times New Roman"/>
          <w:sz w:val="28"/>
          <w:szCs w:val="28"/>
        </w:rPr>
        <w:t>мидриазом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УЗИ глаза и орбиты (при цилиарной, </w:t>
      </w:r>
      <w:proofErr w:type="spellStart"/>
      <w:r w:rsidRPr="004452C6">
        <w:rPr>
          <w:rFonts w:ascii="Times New Roman" w:hAnsi="Times New Roman"/>
          <w:sz w:val="28"/>
          <w:szCs w:val="28"/>
        </w:rPr>
        <w:t>цилиохориоидальной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2C6">
        <w:rPr>
          <w:rFonts w:ascii="Times New Roman" w:hAnsi="Times New Roman"/>
          <w:sz w:val="28"/>
          <w:szCs w:val="28"/>
        </w:rPr>
        <w:t>хориоидальной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локализации опухоли)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Наличие заключения УЗИ органов брюшной полости для определения стадии заболевания при злокачественных опухолях</w:t>
      </w:r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Pr="004452C6" w:rsidRDefault="00EC7C12" w:rsidP="0098182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Наличие заключения рентгенографии легких для определения стадии заболевания при злокачественных опухолях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 Патоморфологические исследования при проведении энуклеации, </w:t>
      </w:r>
      <w:proofErr w:type="spellStart"/>
      <w:r w:rsidRPr="004452C6">
        <w:rPr>
          <w:rFonts w:ascii="Times New Roman" w:hAnsi="Times New Roman"/>
          <w:sz w:val="28"/>
          <w:szCs w:val="28"/>
        </w:rPr>
        <w:t>экзентерации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орбиты и </w:t>
      </w:r>
      <w:proofErr w:type="spellStart"/>
      <w:r w:rsidRPr="004452C6">
        <w:rPr>
          <w:rFonts w:ascii="Times New Roman" w:hAnsi="Times New Roman"/>
          <w:sz w:val="28"/>
          <w:szCs w:val="28"/>
        </w:rPr>
        <w:t>блокэксцизии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7C12" w:rsidRPr="0098182A" w:rsidRDefault="00EC7C12" w:rsidP="00B1649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98182A">
        <w:rPr>
          <w:rFonts w:ascii="Times New Roman" w:hAnsi="Times New Roman"/>
          <w:sz w:val="28"/>
          <w:szCs w:val="28"/>
          <w:u w:val="single"/>
        </w:rPr>
        <w:t xml:space="preserve"> Лечение:</w:t>
      </w:r>
    </w:p>
    <w:p w:rsidR="00EC7C12" w:rsidRPr="004452C6" w:rsidRDefault="00EC7C12" w:rsidP="009818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Энуклеация: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опухоли более 6мм, диаметре основания 15мм, </w:t>
      </w:r>
      <w:proofErr w:type="spellStart"/>
      <w:r w:rsidRPr="004452C6">
        <w:rPr>
          <w:rFonts w:ascii="Times New Roman" w:hAnsi="Times New Roman"/>
          <w:sz w:val="28"/>
          <w:szCs w:val="28"/>
        </w:rPr>
        <w:t>гемофтальме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, вторичной гипертензии, </w:t>
      </w:r>
      <w:proofErr w:type="spellStart"/>
      <w:r w:rsidRPr="004452C6">
        <w:rPr>
          <w:rFonts w:ascii="Times New Roman" w:hAnsi="Times New Roman"/>
          <w:sz w:val="28"/>
          <w:szCs w:val="28"/>
        </w:rPr>
        <w:t>экстрабульбарном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роста, кровоизлияниях на поверхности опухоли, прорастании мембраны </w:t>
      </w:r>
      <w:proofErr w:type="spellStart"/>
      <w:r w:rsidRPr="004452C6">
        <w:rPr>
          <w:rFonts w:ascii="Times New Roman" w:hAnsi="Times New Roman"/>
          <w:sz w:val="28"/>
          <w:szCs w:val="28"/>
        </w:rPr>
        <w:t>Бруха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, осложненной катаракте, </w:t>
      </w:r>
      <w:proofErr w:type="spellStart"/>
      <w:r w:rsidRPr="004452C6">
        <w:rPr>
          <w:rFonts w:ascii="Times New Roman" w:hAnsi="Times New Roman"/>
          <w:sz w:val="28"/>
          <w:szCs w:val="28"/>
        </w:rPr>
        <w:t>увеите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2C6">
        <w:rPr>
          <w:rFonts w:ascii="Times New Roman" w:hAnsi="Times New Roman"/>
          <w:sz w:val="28"/>
          <w:szCs w:val="28"/>
        </w:rPr>
        <w:t>отстоянии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края опухоли от края ДЗН менее 2мм, </w:t>
      </w:r>
      <w:proofErr w:type="spellStart"/>
      <w:r w:rsidRPr="004452C6">
        <w:rPr>
          <w:rFonts w:ascii="Times New Roman" w:hAnsi="Times New Roman"/>
          <w:sz w:val="28"/>
          <w:szCs w:val="28"/>
        </w:rPr>
        <w:t>анулярном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росте опухоли радужки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7E5071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Экзентерация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орбиты – инфильтрация тканей орбиты опухолью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Брахитерапия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–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опухолевого узла до 6мм, диаметре основания – до 15мм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Лазеркоагуляция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–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опухолевого узла до 1,5мм, диаметре основания – до 10мм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Термотерапия -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пигментированного опухолевого узла до 2,5мм, диаметре основания – до 10мм,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проминенции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2C6">
        <w:rPr>
          <w:rFonts w:ascii="Times New Roman" w:hAnsi="Times New Roman"/>
          <w:sz w:val="28"/>
          <w:szCs w:val="28"/>
        </w:rPr>
        <w:t>беспигментного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опухолевого узла до 2,0мм, диаметре основания – до 10,0мм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Блокэксцизия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– при размерах опухоли не более ¼ диаметра радужки и/или цилиарного тела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16490">
      <w:pPr>
        <w:spacing w:after="0"/>
        <w:rPr>
          <w:rFonts w:ascii="Times New Roman" w:hAnsi="Times New Roman"/>
          <w:sz w:val="28"/>
          <w:szCs w:val="28"/>
        </w:rPr>
      </w:pPr>
    </w:p>
    <w:p w:rsidR="00EC7C12" w:rsidRPr="0098182A" w:rsidRDefault="00EC7C12" w:rsidP="007E5071">
      <w:pPr>
        <w:spacing w:after="0"/>
        <w:rPr>
          <w:rFonts w:ascii="Times New Roman" w:hAnsi="Times New Roman"/>
          <w:i/>
          <w:sz w:val="28"/>
          <w:szCs w:val="28"/>
        </w:rPr>
      </w:pPr>
      <w:r w:rsidRPr="0098182A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98182A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Pr="0098182A">
        <w:rPr>
          <w:rFonts w:ascii="Times New Roman" w:hAnsi="Times New Roman"/>
          <w:b/>
          <w:i/>
          <w:sz w:val="28"/>
          <w:szCs w:val="28"/>
        </w:rPr>
        <w:t>Профилактирующие</w:t>
      </w:r>
      <w:proofErr w:type="spellEnd"/>
      <w:r w:rsidRPr="0098182A">
        <w:rPr>
          <w:rFonts w:ascii="Times New Roman" w:hAnsi="Times New Roman"/>
          <w:b/>
          <w:i/>
          <w:sz w:val="28"/>
          <w:szCs w:val="28"/>
        </w:rPr>
        <w:t xml:space="preserve"> индикаторы качества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98182A">
        <w:rPr>
          <w:rFonts w:ascii="Times New Roman" w:hAnsi="Times New Roman"/>
          <w:i/>
          <w:sz w:val="28"/>
          <w:szCs w:val="28"/>
        </w:rPr>
        <w:t xml:space="preserve">  </w:t>
      </w:r>
    </w:p>
    <w:p w:rsidR="00EC7C12" w:rsidRPr="0098182A" w:rsidRDefault="00EC7C12" w:rsidP="00B1649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i/>
          <w:sz w:val="28"/>
          <w:szCs w:val="28"/>
        </w:rPr>
        <w:t xml:space="preserve">    </w:t>
      </w:r>
      <w:r w:rsidRPr="0098182A">
        <w:rPr>
          <w:rFonts w:ascii="Times New Roman" w:hAnsi="Times New Roman"/>
          <w:sz w:val="28"/>
          <w:szCs w:val="28"/>
          <w:u w:val="single"/>
        </w:rPr>
        <w:t>Возможные осложнения: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lastRenderedPageBreak/>
        <w:t>Снижение зрения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452C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Слепота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452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Гемофтальм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0,0%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Интра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452C6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4452C6">
        <w:rPr>
          <w:rFonts w:ascii="Times New Roman" w:hAnsi="Times New Roman"/>
          <w:sz w:val="28"/>
          <w:szCs w:val="28"/>
        </w:rPr>
        <w:t>суб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452C6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Pr="004452C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реретинальные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кровоизлияния – </w:t>
      </w:r>
      <w:r w:rsidRPr="004452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Осложненная катаракта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Склеромаляция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Вторичн</w:t>
      </w:r>
      <w:r>
        <w:rPr>
          <w:rFonts w:ascii="Times New Roman" w:hAnsi="Times New Roman"/>
          <w:sz w:val="28"/>
          <w:szCs w:val="28"/>
        </w:rPr>
        <w:t xml:space="preserve">ая гипертензия – </w:t>
      </w:r>
      <w:r w:rsidRPr="004452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Косоглазие 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Птоз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Постлучевая </w:t>
      </w:r>
      <w:proofErr w:type="spellStart"/>
      <w:r w:rsidRPr="004452C6">
        <w:rPr>
          <w:rFonts w:ascii="Times New Roman" w:hAnsi="Times New Roman"/>
          <w:sz w:val="28"/>
          <w:szCs w:val="28"/>
        </w:rPr>
        <w:t>ретинопатия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00</w:t>
      </w:r>
      <w:r w:rsidRPr="004452C6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>%.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Отслойка сетчатки – </w:t>
      </w:r>
      <w:r w:rsidRPr="004452C6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убатрофия</w:t>
      </w:r>
      <w:proofErr w:type="spellEnd"/>
      <w:r>
        <w:rPr>
          <w:rFonts w:ascii="Times New Roman" w:hAnsi="Times New Roman"/>
          <w:sz w:val="28"/>
          <w:szCs w:val="28"/>
        </w:rPr>
        <w:t xml:space="preserve"> глазного яблока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Иридоциклит, </w:t>
      </w:r>
      <w:proofErr w:type="spellStart"/>
      <w:r w:rsidRPr="004452C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ератоувеит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увеит</w:t>
      </w:r>
      <w:proofErr w:type="spellEnd"/>
      <w:r>
        <w:rPr>
          <w:rFonts w:ascii="Times New Roman" w:hAnsi="Times New Roman"/>
          <w:sz w:val="28"/>
          <w:szCs w:val="28"/>
        </w:rPr>
        <w:t xml:space="preserve">, кератит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Инфекционные осложнения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Ретробульбарная гематома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Гифема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,0%.</w:t>
      </w:r>
    </w:p>
    <w:p w:rsidR="00EC7C12" w:rsidRPr="004452C6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кспульсивное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кровотечение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Default="00EC7C12" w:rsidP="00B16490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Несостоятельност</w:t>
      </w:r>
      <w:r>
        <w:rPr>
          <w:rFonts w:ascii="Times New Roman" w:hAnsi="Times New Roman"/>
          <w:sz w:val="28"/>
          <w:szCs w:val="28"/>
        </w:rPr>
        <w:t xml:space="preserve">ь швов после </w:t>
      </w:r>
      <w:proofErr w:type="spellStart"/>
      <w:r>
        <w:rPr>
          <w:rFonts w:ascii="Times New Roman" w:hAnsi="Times New Roman"/>
          <w:sz w:val="28"/>
          <w:szCs w:val="28"/>
        </w:rPr>
        <w:t>блокэксцизии</w:t>
      </w:r>
      <w:proofErr w:type="spellEnd"/>
      <w:r>
        <w:rPr>
          <w:rFonts w:ascii="Times New Roman" w:hAnsi="Times New Roman"/>
          <w:sz w:val="28"/>
          <w:szCs w:val="28"/>
        </w:rPr>
        <w:t xml:space="preserve"> – 0,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%.</w:t>
      </w:r>
    </w:p>
    <w:p w:rsidR="00EC7C12" w:rsidRPr="004452C6" w:rsidRDefault="00EC7C12" w:rsidP="0098182A">
      <w:pPr>
        <w:pStyle w:val="a3"/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Pr="0098182A" w:rsidRDefault="00EC7C12" w:rsidP="00B1649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sz w:val="28"/>
          <w:szCs w:val="28"/>
        </w:rPr>
        <w:t xml:space="preserve"> </w:t>
      </w:r>
      <w:r w:rsidRPr="004452C6">
        <w:rPr>
          <w:rFonts w:ascii="Times New Roman" w:hAnsi="Times New Roman"/>
          <w:i/>
          <w:sz w:val="28"/>
          <w:szCs w:val="28"/>
        </w:rPr>
        <w:t xml:space="preserve">  </w:t>
      </w:r>
      <w:r w:rsidRPr="0098182A">
        <w:rPr>
          <w:rFonts w:ascii="Times New Roman" w:hAnsi="Times New Roman"/>
          <w:sz w:val="28"/>
          <w:szCs w:val="28"/>
          <w:u w:val="single"/>
        </w:rPr>
        <w:t>Профилактика возможных осложнений: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При злокачественных опухолях – хирургическое лечение (энуклеация, </w:t>
      </w:r>
      <w:proofErr w:type="spellStart"/>
      <w:r w:rsidRPr="004452C6">
        <w:rPr>
          <w:rFonts w:ascii="Times New Roman" w:hAnsi="Times New Roman"/>
          <w:sz w:val="28"/>
          <w:szCs w:val="28"/>
        </w:rPr>
        <w:t>экзентерация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орбиты,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брахитерапия</w:t>
      </w:r>
      <w:proofErr w:type="spellEnd"/>
      <w:r w:rsidRPr="004452C6">
        <w:rPr>
          <w:rFonts w:ascii="Times New Roman" w:hAnsi="Times New Roman"/>
          <w:sz w:val="28"/>
          <w:szCs w:val="28"/>
        </w:rPr>
        <w:t>) под общим наркозом для снижения риска гематогенного метастазирования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4452C6">
        <w:rPr>
          <w:rFonts w:ascii="Times New Roman" w:hAnsi="Times New Roman"/>
          <w:sz w:val="28"/>
          <w:szCs w:val="28"/>
        </w:rPr>
        <w:t>блокэксцизии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в условиях управляемой гипотонии для профилактики геморрагических осложнений и </w:t>
      </w:r>
      <w:proofErr w:type="spellStart"/>
      <w:r w:rsidRPr="004452C6">
        <w:rPr>
          <w:rFonts w:ascii="Times New Roman" w:hAnsi="Times New Roman"/>
          <w:sz w:val="28"/>
          <w:szCs w:val="28"/>
        </w:rPr>
        <w:t>экспульсивного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кровотечения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Общая и/или местная противовоспалительная терапия (использование НПВС)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Общая и местная антибактериальная терапия для профилактики инфекционных осложнений</w:t>
      </w:r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Локальная ГКТ (пара- и ретробульбарные инъекции) при проведении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постлучевых осложнений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Наложение асептической наклейки после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52C6">
        <w:rPr>
          <w:rFonts w:ascii="Times New Roman" w:hAnsi="Times New Roman"/>
          <w:sz w:val="28"/>
          <w:szCs w:val="28"/>
        </w:rPr>
        <w:t>блокэксцизии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инфекционных осложнений</w:t>
      </w:r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Наложение бинокулярной наклейки на 1 сутки при проведении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смещения </w:t>
      </w:r>
      <w:proofErr w:type="spellStart"/>
      <w:r w:rsidRPr="004452C6">
        <w:rPr>
          <w:rFonts w:ascii="Times New Roman" w:hAnsi="Times New Roman"/>
          <w:sz w:val="28"/>
          <w:szCs w:val="28"/>
        </w:rPr>
        <w:t>офтальмоаппликатора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Наложение бинокулярной наклейки и назначение строгого постельного режима до 2-х суток при проведении </w:t>
      </w:r>
      <w:proofErr w:type="spellStart"/>
      <w:r w:rsidRPr="004452C6">
        <w:rPr>
          <w:rFonts w:ascii="Times New Roman" w:hAnsi="Times New Roman"/>
          <w:sz w:val="28"/>
          <w:szCs w:val="28"/>
        </w:rPr>
        <w:t>блокэксцизии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несостоятельности швов и внутриглазного кровотечения</w:t>
      </w:r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lastRenderedPageBreak/>
        <w:t xml:space="preserve">Поддержание медикаментозного </w:t>
      </w:r>
      <w:proofErr w:type="spellStart"/>
      <w:r w:rsidRPr="004452C6">
        <w:rPr>
          <w:rFonts w:ascii="Times New Roman" w:hAnsi="Times New Roman"/>
          <w:sz w:val="28"/>
          <w:szCs w:val="28"/>
        </w:rPr>
        <w:t>мидриаза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при проведении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на время острого лучевого периода; после </w:t>
      </w:r>
      <w:proofErr w:type="spellStart"/>
      <w:r w:rsidRPr="004452C6">
        <w:rPr>
          <w:rFonts w:ascii="Times New Roman" w:hAnsi="Times New Roman"/>
          <w:sz w:val="28"/>
          <w:szCs w:val="28"/>
        </w:rPr>
        <w:t>лазеркоагуляции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и термотерапии для профилактики иридоциклита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Сосудоукрепляющая терапия для профилактики геморрагических осложнений</w:t>
      </w:r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 </w:t>
      </w:r>
    </w:p>
    <w:p w:rsidR="00EC7C12" w:rsidRPr="004452C6" w:rsidRDefault="00EC7C12" w:rsidP="0098182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Наложение давящей повязки после энуклеации и </w:t>
      </w:r>
      <w:proofErr w:type="spellStart"/>
      <w:r w:rsidRPr="004452C6">
        <w:rPr>
          <w:rFonts w:ascii="Times New Roman" w:hAnsi="Times New Roman"/>
          <w:sz w:val="28"/>
          <w:szCs w:val="28"/>
        </w:rPr>
        <w:t>экзентерации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послеоперационного отека ретробульбарных тканей и ретробульбарной гематомы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7E507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Протезирование конъюнктивальной полости после энуклеации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574C8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Предоперационное очищение кишечника для снижения риска геморрагических осложнений в послеоперационном периоде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Pr="00574C82" w:rsidRDefault="00EC7C12" w:rsidP="007E5071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74C82">
        <w:rPr>
          <w:rFonts w:ascii="Times New Roman" w:hAnsi="Times New Roman"/>
          <w:sz w:val="28"/>
          <w:szCs w:val="28"/>
          <w:u w:val="single"/>
        </w:rPr>
        <w:t>Исходы:</w:t>
      </w:r>
    </w:p>
    <w:p w:rsidR="00EC7C12" w:rsidRPr="004452C6" w:rsidRDefault="00EC7C12" w:rsidP="007E507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Выздоровление (при </w:t>
      </w:r>
      <w:r w:rsidRPr="004452C6">
        <w:rPr>
          <w:rFonts w:ascii="Times New Roman" w:hAnsi="Times New Roman"/>
          <w:b/>
          <w:sz w:val="28"/>
          <w:szCs w:val="28"/>
        </w:rPr>
        <w:t>D 31.2, D 31.3, D 31.4</w:t>
      </w:r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7E507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Стабилизация процесса 95 % (при </w:t>
      </w:r>
      <w:r w:rsidRPr="004452C6">
        <w:rPr>
          <w:rFonts w:ascii="Times New Roman" w:hAnsi="Times New Roman"/>
          <w:b/>
          <w:sz w:val="28"/>
          <w:szCs w:val="28"/>
        </w:rPr>
        <w:t>C 69.3, C 69.4</w:t>
      </w:r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7E507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Продолженный рост 7% (при </w:t>
      </w:r>
      <w:r w:rsidRPr="004452C6">
        <w:rPr>
          <w:rFonts w:ascii="Times New Roman" w:hAnsi="Times New Roman"/>
          <w:b/>
          <w:sz w:val="28"/>
          <w:szCs w:val="28"/>
        </w:rPr>
        <w:t>C 69.3, C 69.4</w:t>
      </w:r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7E507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Отсутствие эффекта 0,3% ((при </w:t>
      </w:r>
      <w:r w:rsidRPr="004452C6">
        <w:rPr>
          <w:rFonts w:ascii="Times New Roman" w:hAnsi="Times New Roman"/>
          <w:b/>
          <w:sz w:val="28"/>
          <w:szCs w:val="28"/>
        </w:rPr>
        <w:t>C 69.3, C 69.4</w:t>
      </w:r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7E507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Диссеминация (генерализация опухолевого процесса) 20% (при </w:t>
      </w:r>
      <w:r w:rsidRPr="004452C6">
        <w:rPr>
          <w:rFonts w:ascii="Times New Roman" w:hAnsi="Times New Roman"/>
          <w:b/>
          <w:sz w:val="28"/>
          <w:szCs w:val="28"/>
        </w:rPr>
        <w:t>C 69.3, C 69.4</w:t>
      </w:r>
      <w:r w:rsidRPr="00445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7E507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Летальный исход (при С)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452C6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,0 </w:t>
      </w:r>
      <w:r w:rsidRPr="004452C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Pr="004452C6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Pr="004452C6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Pr="004452C6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p w:rsidR="00EC7C12" w:rsidRPr="004452C6" w:rsidRDefault="00EC7C12" w:rsidP="0033763D">
      <w:pPr>
        <w:spacing w:after="0"/>
        <w:rPr>
          <w:rFonts w:ascii="Times New Roman" w:hAnsi="Times New Roman"/>
          <w:sz w:val="28"/>
          <w:szCs w:val="28"/>
        </w:rPr>
      </w:pPr>
    </w:p>
    <w:sectPr w:rsidR="00EC7C12" w:rsidRPr="004452C6" w:rsidSect="00EF3EC1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EE2"/>
    <w:multiLevelType w:val="hybridMultilevel"/>
    <w:tmpl w:val="B7D27FC6"/>
    <w:lvl w:ilvl="0" w:tplc="FA4E14E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AF915BC"/>
    <w:multiLevelType w:val="hybridMultilevel"/>
    <w:tmpl w:val="0D643588"/>
    <w:lvl w:ilvl="0" w:tplc="AA4CA4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">
    <w:nsid w:val="0DC907F8"/>
    <w:multiLevelType w:val="hybridMultilevel"/>
    <w:tmpl w:val="AD644DEE"/>
    <w:lvl w:ilvl="0" w:tplc="1AE07BF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">
    <w:nsid w:val="0E44017B"/>
    <w:multiLevelType w:val="hybridMultilevel"/>
    <w:tmpl w:val="9E4694E8"/>
    <w:lvl w:ilvl="0" w:tplc="18A001BA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>
    <w:nsid w:val="18426002"/>
    <w:multiLevelType w:val="hybridMultilevel"/>
    <w:tmpl w:val="DEF02426"/>
    <w:lvl w:ilvl="0" w:tplc="40DED4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5">
    <w:nsid w:val="1C9524A2"/>
    <w:multiLevelType w:val="hybridMultilevel"/>
    <w:tmpl w:val="09127240"/>
    <w:lvl w:ilvl="0" w:tplc="A888004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6">
    <w:nsid w:val="1F2D27CC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7">
    <w:nsid w:val="226E0C49"/>
    <w:multiLevelType w:val="hybridMultilevel"/>
    <w:tmpl w:val="32B473E4"/>
    <w:lvl w:ilvl="0" w:tplc="D938B80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8">
    <w:nsid w:val="233D2519"/>
    <w:multiLevelType w:val="hybridMultilevel"/>
    <w:tmpl w:val="6552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B973AE"/>
    <w:multiLevelType w:val="hybridMultilevel"/>
    <w:tmpl w:val="BEDC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0B5E79"/>
    <w:multiLevelType w:val="hybridMultilevel"/>
    <w:tmpl w:val="260E414C"/>
    <w:lvl w:ilvl="0" w:tplc="7D3C0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4089C"/>
    <w:multiLevelType w:val="hybridMultilevel"/>
    <w:tmpl w:val="C3B80CF2"/>
    <w:lvl w:ilvl="0" w:tplc="51685CA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2">
    <w:nsid w:val="436B1838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3">
    <w:nsid w:val="470137E4"/>
    <w:multiLevelType w:val="hybridMultilevel"/>
    <w:tmpl w:val="D94CB042"/>
    <w:lvl w:ilvl="0" w:tplc="723E41C6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4">
    <w:nsid w:val="57150D40"/>
    <w:multiLevelType w:val="hybridMultilevel"/>
    <w:tmpl w:val="2CAA033E"/>
    <w:lvl w:ilvl="0" w:tplc="C542EBA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5">
    <w:nsid w:val="578D0796"/>
    <w:multiLevelType w:val="hybridMultilevel"/>
    <w:tmpl w:val="FA7049B2"/>
    <w:lvl w:ilvl="0" w:tplc="F0BE4EA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6">
    <w:nsid w:val="59781C56"/>
    <w:multiLevelType w:val="hybridMultilevel"/>
    <w:tmpl w:val="DBAE4A48"/>
    <w:lvl w:ilvl="0" w:tplc="5B16C0A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>
    <w:nsid w:val="5DB946F9"/>
    <w:multiLevelType w:val="hybridMultilevel"/>
    <w:tmpl w:val="7A52212E"/>
    <w:lvl w:ilvl="0" w:tplc="CC4037C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8">
    <w:nsid w:val="634768F8"/>
    <w:multiLevelType w:val="hybridMultilevel"/>
    <w:tmpl w:val="AD58B05E"/>
    <w:lvl w:ilvl="0" w:tplc="5F5826E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9">
    <w:nsid w:val="63917EF3"/>
    <w:multiLevelType w:val="hybridMultilevel"/>
    <w:tmpl w:val="2B8AC7A6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662609E9"/>
    <w:multiLevelType w:val="hybridMultilevel"/>
    <w:tmpl w:val="C010C9C4"/>
    <w:lvl w:ilvl="0" w:tplc="9088211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1">
    <w:nsid w:val="692C0896"/>
    <w:multiLevelType w:val="hybridMultilevel"/>
    <w:tmpl w:val="4A840972"/>
    <w:lvl w:ilvl="0" w:tplc="1A08F96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2">
    <w:nsid w:val="6BE74EFD"/>
    <w:multiLevelType w:val="hybridMultilevel"/>
    <w:tmpl w:val="0DE0A5CC"/>
    <w:lvl w:ilvl="0" w:tplc="6AFCE12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3">
    <w:nsid w:val="6D593CE4"/>
    <w:multiLevelType w:val="hybridMultilevel"/>
    <w:tmpl w:val="7DFA61D2"/>
    <w:lvl w:ilvl="0" w:tplc="687E11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4">
    <w:nsid w:val="6ECB239E"/>
    <w:multiLevelType w:val="hybridMultilevel"/>
    <w:tmpl w:val="B4584032"/>
    <w:lvl w:ilvl="0" w:tplc="BBB80A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5">
    <w:nsid w:val="76D63283"/>
    <w:multiLevelType w:val="hybridMultilevel"/>
    <w:tmpl w:val="9CC0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4"/>
  </w:num>
  <w:num w:numId="5">
    <w:abstractNumId w:val="15"/>
  </w:num>
  <w:num w:numId="6">
    <w:abstractNumId w:val="25"/>
  </w:num>
  <w:num w:numId="7">
    <w:abstractNumId w:val="20"/>
  </w:num>
  <w:num w:numId="8">
    <w:abstractNumId w:val="11"/>
  </w:num>
  <w:num w:numId="9">
    <w:abstractNumId w:val="13"/>
  </w:num>
  <w:num w:numId="10">
    <w:abstractNumId w:val="2"/>
  </w:num>
  <w:num w:numId="11">
    <w:abstractNumId w:val="8"/>
  </w:num>
  <w:num w:numId="12">
    <w:abstractNumId w:val="21"/>
  </w:num>
  <w:num w:numId="13">
    <w:abstractNumId w:val="17"/>
  </w:num>
  <w:num w:numId="14">
    <w:abstractNumId w:val="1"/>
  </w:num>
  <w:num w:numId="15">
    <w:abstractNumId w:val="4"/>
  </w:num>
  <w:num w:numId="16">
    <w:abstractNumId w:val="9"/>
  </w:num>
  <w:num w:numId="17">
    <w:abstractNumId w:val="22"/>
  </w:num>
  <w:num w:numId="18">
    <w:abstractNumId w:val="18"/>
  </w:num>
  <w:num w:numId="19">
    <w:abstractNumId w:val="14"/>
  </w:num>
  <w:num w:numId="20">
    <w:abstractNumId w:val="6"/>
  </w:num>
  <w:num w:numId="21">
    <w:abstractNumId w:val="16"/>
  </w:num>
  <w:num w:numId="22">
    <w:abstractNumId w:val="0"/>
  </w:num>
  <w:num w:numId="23">
    <w:abstractNumId w:val="5"/>
  </w:num>
  <w:num w:numId="24">
    <w:abstractNumId w:val="12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B5"/>
    <w:rsid w:val="000375EB"/>
    <w:rsid w:val="00053507"/>
    <w:rsid w:val="00060A8A"/>
    <w:rsid w:val="00064B1F"/>
    <w:rsid w:val="000B0EA4"/>
    <w:rsid w:val="000E5361"/>
    <w:rsid w:val="00112D47"/>
    <w:rsid w:val="001C3F44"/>
    <w:rsid w:val="001C468F"/>
    <w:rsid w:val="001D360C"/>
    <w:rsid w:val="001F4541"/>
    <w:rsid w:val="00263F9E"/>
    <w:rsid w:val="002916BF"/>
    <w:rsid w:val="002A67D7"/>
    <w:rsid w:val="0033763D"/>
    <w:rsid w:val="003E770F"/>
    <w:rsid w:val="003F327E"/>
    <w:rsid w:val="004452C6"/>
    <w:rsid w:val="004F0762"/>
    <w:rsid w:val="00532987"/>
    <w:rsid w:val="00564337"/>
    <w:rsid w:val="00574C82"/>
    <w:rsid w:val="005B2727"/>
    <w:rsid w:val="0064283D"/>
    <w:rsid w:val="00656918"/>
    <w:rsid w:val="006606ED"/>
    <w:rsid w:val="006748C6"/>
    <w:rsid w:val="00704A28"/>
    <w:rsid w:val="007464DC"/>
    <w:rsid w:val="00782FF0"/>
    <w:rsid w:val="007A025E"/>
    <w:rsid w:val="007A3A5F"/>
    <w:rsid w:val="007C32BD"/>
    <w:rsid w:val="007C7723"/>
    <w:rsid w:val="007D6B1D"/>
    <w:rsid w:val="007E5071"/>
    <w:rsid w:val="008E5ABA"/>
    <w:rsid w:val="00902062"/>
    <w:rsid w:val="00931E21"/>
    <w:rsid w:val="0098182A"/>
    <w:rsid w:val="00990F6E"/>
    <w:rsid w:val="00995E00"/>
    <w:rsid w:val="009A50B5"/>
    <w:rsid w:val="009B7833"/>
    <w:rsid w:val="009C41E8"/>
    <w:rsid w:val="00A103A4"/>
    <w:rsid w:val="00A57512"/>
    <w:rsid w:val="00A85547"/>
    <w:rsid w:val="00AB0686"/>
    <w:rsid w:val="00AC0DF5"/>
    <w:rsid w:val="00AC0E71"/>
    <w:rsid w:val="00AC4F6C"/>
    <w:rsid w:val="00AD1F0D"/>
    <w:rsid w:val="00AF05D8"/>
    <w:rsid w:val="00B16490"/>
    <w:rsid w:val="00B412C9"/>
    <w:rsid w:val="00BA09C4"/>
    <w:rsid w:val="00C4655E"/>
    <w:rsid w:val="00C84E05"/>
    <w:rsid w:val="00CC1C2A"/>
    <w:rsid w:val="00CD1C7C"/>
    <w:rsid w:val="00D44EDA"/>
    <w:rsid w:val="00D848FF"/>
    <w:rsid w:val="00DD1854"/>
    <w:rsid w:val="00E2250D"/>
    <w:rsid w:val="00E25F66"/>
    <w:rsid w:val="00E7091C"/>
    <w:rsid w:val="00E96319"/>
    <w:rsid w:val="00EC7C12"/>
    <w:rsid w:val="00EF3EC1"/>
    <w:rsid w:val="00F11035"/>
    <w:rsid w:val="00F41610"/>
    <w:rsid w:val="00F558A4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2014-07-31T05:12:00Z</cp:lastPrinted>
  <dcterms:created xsi:type="dcterms:W3CDTF">2014-09-28T07:02:00Z</dcterms:created>
  <dcterms:modified xsi:type="dcterms:W3CDTF">2014-09-28T07:02:00Z</dcterms:modified>
</cp:coreProperties>
</file>